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Record at least 10 consecutive cases from one of your usual working sessions </w:t>
      </w:r>
    </w:p>
    <w:p w:rsidR="00000000" w:rsidDel="00000000" w:rsidP="00000000" w:rsidRDefault="00000000" w:rsidRPr="00000000" w14:paraId="0000000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After each consultation, either type a summary of the consultation in each box, or print off an anonymised record of the consultation. Those with camera phones can often get a clear picture of consultation notes with no identifiable patient details. An anonymised record of your actual consultation notes gives the added benefit of allowing your record-keeping to be reviewed.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Discuss each case with a colleague and record your conversation in the relevant box. Why not ask other locums who work in similar settings? Being a locum GP is a specialist area and you need to discuss your cases with a suitably experienced colleague. If meeting up is a problem, you could even do it remotely via platforms like skype or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Google Hangouts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8670"/>
        <w:tblGridChange w:id="0">
          <w:tblGrid>
            <w:gridCol w:w="2100"/>
            <w:gridCol w:w="867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chamber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 of setting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e.g. name of surgery, OOH, walk-in centre etc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and role of colleague/s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Case example</w:t>
      </w:r>
    </w:p>
    <w:tbl>
      <w:tblPr>
        <w:tblStyle w:val="Table2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  <w:r w:rsidDel="00000000" w:rsidR="00000000" w:rsidRPr="00000000">
              <w:rPr>
                <w:rtl w:val="0"/>
              </w:rPr>
              <w:t xml:space="preserve"> 45 year old man, ex-smoker, 2-week hx of cough; 24 hours haemoptysis. CXR.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We discussed safety netting - making sure I recorded that I’d asked him to return for follow-up. Whether I should have done bloods too. </w:t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z1bin7o8up6" w:id="0"/>
      <w:bookmarkEnd w:id="0"/>
      <w:r w:rsidDel="00000000" w:rsidR="00000000" w:rsidRPr="00000000">
        <w:rPr>
          <w:rtl w:val="0"/>
        </w:rPr>
        <w:t xml:space="preserve">Case #1</w:t>
      </w:r>
    </w:p>
    <w:tbl>
      <w:tblPr>
        <w:tblStyle w:val="Table3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17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zdmvs54y9kmd" w:id="1"/>
      <w:bookmarkEnd w:id="1"/>
      <w:r w:rsidDel="00000000" w:rsidR="00000000" w:rsidRPr="00000000">
        <w:rPr>
          <w:rtl w:val="0"/>
        </w:rPr>
        <w:t xml:space="preserve">Case #2</w:t>
      </w:r>
    </w:p>
    <w:tbl>
      <w:tblPr>
        <w:tblStyle w:val="Table4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caq45n2h1g1z" w:id="2"/>
      <w:bookmarkEnd w:id="2"/>
      <w:r w:rsidDel="00000000" w:rsidR="00000000" w:rsidRPr="00000000">
        <w:rPr>
          <w:rtl w:val="0"/>
        </w:rPr>
        <w:t xml:space="preserve">Case #3</w:t>
      </w:r>
    </w:p>
    <w:tbl>
      <w:tblPr>
        <w:tblStyle w:val="Table5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7of3cfyuk98l" w:id="3"/>
      <w:bookmarkEnd w:id="3"/>
      <w:r w:rsidDel="00000000" w:rsidR="00000000" w:rsidRPr="00000000">
        <w:rPr>
          <w:rtl w:val="0"/>
        </w:rPr>
        <w:t xml:space="preserve">Case #4</w:t>
      </w:r>
    </w:p>
    <w:tbl>
      <w:tblPr>
        <w:tblStyle w:val="Table6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odfsp5njpv77" w:id="4"/>
      <w:bookmarkEnd w:id="4"/>
      <w:r w:rsidDel="00000000" w:rsidR="00000000" w:rsidRPr="00000000">
        <w:rPr>
          <w:rtl w:val="0"/>
        </w:rPr>
        <w:t xml:space="preserve">Case #5</w:t>
      </w:r>
    </w:p>
    <w:tbl>
      <w:tblPr>
        <w:tblStyle w:val="Table7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ldcqycvufapr" w:id="5"/>
      <w:bookmarkEnd w:id="5"/>
      <w:r w:rsidDel="00000000" w:rsidR="00000000" w:rsidRPr="00000000">
        <w:rPr>
          <w:rtl w:val="0"/>
        </w:rPr>
        <w:t xml:space="preserve">Case #6</w:t>
      </w:r>
    </w:p>
    <w:tbl>
      <w:tblPr>
        <w:tblStyle w:val="Table8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x24w7hn2pg6o" w:id="6"/>
      <w:bookmarkEnd w:id="6"/>
      <w:r w:rsidDel="00000000" w:rsidR="00000000" w:rsidRPr="00000000">
        <w:rPr>
          <w:rtl w:val="0"/>
        </w:rPr>
        <w:t xml:space="preserve">Case #7</w:t>
      </w:r>
    </w:p>
    <w:tbl>
      <w:tblPr>
        <w:tblStyle w:val="Table9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hp94m32550oy" w:id="7"/>
      <w:bookmarkEnd w:id="7"/>
      <w:r w:rsidDel="00000000" w:rsidR="00000000" w:rsidRPr="00000000">
        <w:rPr>
          <w:rtl w:val="0"/>
        </w:rPr>
        <w:t xml:space="preserve">Case #8</w:t>
      </w:r>
    </w:p>
    <w:tbl>
      <w:tblPr>
        <w:tblStyle w:val="Table10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uxji781dv4kq" w:id="8"/>
      <w:bookmarkEnd w:id="8"/>
      <w:r w:rsidDel="00000000" w:rsidR="00000000" w:rsidRPr="00000000">
        <w:rPr>
          <w:rtl w:val="0"/>
        </w:rPr>
        <w:t xml:space="preserve">Case #9</w:t>
      </w:r>
    </w:p>
    <w:tbl>
      <w:tblPr>
        <w:tblStyle w:val="Table11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88a7cyz98or3" w:id="9"/>
      <w:bookmarkEnd w:id="9"/>
      <w:r w:rsidDel="00000000" w:rsidR="00000000" w:rsidRPr="00000000">
        <w:rPr>
          <w:rtl w:val="0"/>
        </w:rPr>
        <w:t xml:space="preserve">Case #10</w:t>
      </w:r>
    </w:p>
    <w:tbl>
      <w:tblPr>
        <w:tblStyle w:val="Table12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q5bsuar8nlas" w:id="10"/>
      <w:bookmarkEnd w:id="10"/>
      <w:r w:rsidDel="00000000" w:rsidR="00000000" w:rsidRPr="00000000">
        <w:rPr>
          <w:rtl w:val="0"/>
        </w:rPr>
        <w:t xml:space="preserve">Case #11</w:t>
      </w:r>
    </w:p>
    <w:tbl>
      <w:tblPr>
        <w:tblStyle w:val="Table13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pStyle w:val="Heading2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/>
      </w:pPr>
      <w:bookmarkStart w:colFirst="0" w:colLast="0" w:name="_lijtf46r0tob" w:id="11"/>
      <w:bookmarkEnd w:id="11"/>
      <w:r w:rsidDel="00000000" w:rsidR="00000000" w:rsidRPr="00000000">
        <w:rPr>
          <w:rtl w:val="0"/>
        </w:rPr>
        <w:t xml:space="preserve">Case #12</w:t>
      </w:r>
    </w:p>
    <w:tbl>
      <w:tblPr>
        <w:tblStyle w:val="Table14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ky86iqp3lm" w:id="12"/>
      <w:bookmarkEnd w:id="12"/>
      <w:r w:rsidDel="00000000" w:rsidR="00000000" w:rsidRPr="00000000">
        <w:rPr>
          <w:rtl w:val="0"/>
        </w:rPr>
        <w:t xml:space="preserve">Reflection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55"/>
        <w:tblGridChange w:id="0">
          <w:tblGrid>
            <w:gridCol w:w="615"/>
            <w:gridCol w:w="10155"/>
          </w:tblGrid>
        </w:tblGridChange>
      </w:tblGrid>
      <w:tr>
        <w:trPr>
          <w:trHeight w:val="420" w:hRule="atLeast"/>
        </w:trPr>
        <w:tc>
          <w:tcPr>
            <w:vMerge w:val="restart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#1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What went well? What could have been better?</w:t>
            </w:r>
          </w:p>
        </w:tc>
      </w:tr>
      <w:tr>
        <w:trPr>
          <w:trHeight w:val="420" w:hRule="atLeast"/>
        </w:trPr>
        <w:tc>
          <w:tcPr>
            <w:vMerge w:val="continue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#2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What could have been done differently?</w:t>
            </w:r>
          </w:p>
        </w:tc>
      </w:tr>
      <w:tr>
        <w:trPr>
          <w:trHeight w:val="420" w:hRule="atLeast"/>
        </w:trPr>
        <w:tc>
          <w:tcPr>
            <w:vMerge w:val="continue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#3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After discussing with your colleague/s, what reflections do you have in relation to this case? </w:t>
            </w:r>
          </w:p>
        </w:tc>
      </w:tr>
      <w:tr>
        <w:trPr>
          <w:trHeight w:val="420" w:hRule="atLeast"/>
        </w:trPr>
        <w:tc>
          <w:tcPr>
            <w:vMerge w:val="continue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 in terms of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GMC domains for Good Medical Practice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which underpin appraisal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Knowledge, skills, performance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Safety and quality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Communication, partnership, and teamwork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Maintaining trust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#4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What was the outcome of your serial case review? What changes have you carried out as a result of these case reviews?</w:t>
            </w:r>
          </w:p>
        </w:tc>
      </w:tr>
      <w:tr>
        <w:trPr>
          <w:trHeight w:val="420" w:hRule="atLeast"/>
        </w:trPr>
        <w:tc>
          <w:tcPr>
            <w:vMerge w:val="continue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 is useful for your appraisal if you can “close the loop” and show application of your new learning.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you see another patient where you later use your new learning, record it here or start a new single case review.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 is easier to do this if your notes are organised and accessible to you on the move.</w:t>
            </w:r>
          </w:p>
        </w:tc>
      </w:tr>
      <w:tr>
        <w:trPr>
          <w:trHeight w:val="420" w:hRule="atLeast"/>
        </w:trPr>
        <w:tc>
          <w:tcPr>
            <w:vMerge w:val="continue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#5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Any further learning needs or action needed?</w:t>
            </w:r>
          </w:p>
        </w:tc>
      </w:tr>
      <w:tr>
        <w:trPr>
          <w:trHeight w:val="420" w:hRule="atLeast"/>
        </w:trPr>
        <w:tc>
          <w:tcPr>
            <w:vMerge w:val="continue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#6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Record your CPD credits </w:t>
            </w:r>
            <w:r w:rsidDel="00000000" w:rsidR="00000000" w:rsidRPr="00000000">
              <w:rPr>
                <w:i w:val="1"/>
                <w:rtl w:val="0"/>
              </w:rPr>
              <w:t xml:space="preserve">(1 credit = 1 hour learning activity demonstrated by reflective record)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6tg4ygke2n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e677z3h86uf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a4iir18fj5y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xlvrddafgjb" w:id="16"/>
      <w:bookmarkEnd w:id="16"/>
      <w:r w:rsidDel="00000000" w:rsidR="00000000" w:rsidRPr="00000000">
        <w:rPr>
          <w:rtl w:val="0"/>
        </w:rPr>
        <w:t xml:space="preserve">Tips 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template is just a suggestion. It is designed to lead you through the process of demonstrating that you are constantly evaluating your performance and learning needs, and implementing improvements when needed.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Mess around with it if you can make it more meaningful to you.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chosen to use this template</w:t>
      </w:r>
    </w:p>
    <w:p w:rsidR="00000000" w:rsidDel="00000000" w:rsidP="00000000" w:rsidRDefault="00000000" w:rsidRPr="00000000" w14:paraId="0000006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Store it somewhere safe so you can swiftly access it when you need it in consultations and when it comes to preparing your appraisal evidence.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Cloud-based storage can be a good option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6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You’ve already done most of the hard “thinking” work, so populating your appraisal toolkit with your reflections should be just an admin task of “copy and pasting” the relevant bits and/or uploading the document.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If you have any ideas or examples of QIA then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please share them with the rest of us at NASGP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/>
      <w:pgMar w:bottom="566.9291338582677" w:top="566.9291338582677" w:left="566.9291338582677" w:right="566.9291338582677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ichard Fieldhouse" w:id="0" w:date="2015-01-30T16:46:19Z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Save a copy of this and adapt to your personal needs. See http://www.nasgp.org.uk/question/appraisalaid-saving-google-drive-documents/ for more information.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176213</wp:posOffset>
          </wp:positionV>
          <wp:extent cx="381000" cy="190500"/>
          <wp:effectExtent b="0" l="0" r="0" t="0"/>
          <wp:wrapSquare wrapText="bothSides" distB="114300" distT="114300" distL="114300" distR="114300"/>
          <wp:docPr descr="NASGP - Spip Standardised Practice Information Portal.png" id="1" name="image1.png"/>
          <a:graphic>
            <a:graphicData uri="http://schemas.openxmlformats.org/drawingml/2006/picture">
              <pic:pic>
                <pic:nvPicPr>
                  <pic:cNvPr descr="NASGP - Spip Standardised Practice Information Port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6"/>
      <w:tblW w:w="10710.0" w:type="dxa"/>
      <w:jc w:val="left"/>
      <w:tblInd w:w="0.0" w:type="pct"/>
      <w:tblLayout w:type="fixed"/>
      <w:tblLook w:val="0600"/>
    </w:tblPr>
    <w:tblGrid>
      <w:gridCol w:w="5445"/>
      <w:gridCol w:w="5265"/>
      <w:tblGridChange w:id="0">
        <w:tblGrid>
          <w:gridCol w:w="5445"/>
          <w:gridCol w:w="5265"/>
        </w:tblGrid>
      </w:tblGridChange>
    </w:tblGrid>
    <w:tr>
      <w:tc>
        <w:tcPr>
          <w:tcBorders>
            <w:top w:color="d9d9d9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70">
          <w:pPr>
            <w:spacing w:line="240" w:lineRule="auto"/>
            <w:rPr>
              <w:color w:val="666666"/>
              <w:sz w:val="16"/>
              <w:szCs w:val="16"/>
            </w:rPr>
          </w:pP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color w:val="666666"/>
              <w:sz w:val="16"/>
              <w:szCs w:val="16"/>
              <w:rtl w:val="0"/>
            </w:rPr>
            <w:t xml:space="preserve">© NASGP  Page </w:t>
          </w:r>
          <w:r w:rsidDel="00000000" w:rsidR="00000000" w:rsidRPr="00000000">
            <w:rPr>
              <w:color w:val="666666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666666"/>
              <w:sz w:val="16"/>
              <w:szCs w:val="16"/>
              <w:rtl w:val="0"/>
            </w:rPr>
            <w:t xml:space="preserve"> of </w:t>
          </w:r>
          <w:r w:rsidDel="00000000" w:rsidR="00000000" w:rsidRPr="00000000">
            <w:rPr>
              <w:color w:val="666666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d9d9d9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1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tbl>
    <w:tblPr>
      <w:tblStyle w:val="Table17"/>
      <w:tblW w:w="10740.0" w:type="dxa"/>
      <w:jc w:val="left"/>
      <w:tblInd w:w="100.0" w:type="pc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7965"/>
      <w:gridCol w:w="2775"/>
      <w:tblGridChange w:id="0">
        <w:tblGrid>
          <w:gridCol w:w="7965"/>
          <w:gridCol w:w="2775"/>
        </w:tblGrid>
      </w:tblGridChange>
    </w:tblGrid>
    <w:tr>
      <w:tc>
        <w:tcPr>
          <w:shd w:fill="efefef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4">
          <w:pPr>
            <w:pStyle w:val="Title"/>
            <w:keepNext w:val="1"/>
            <w:keepLines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rPr/>
          </w:pPr>
          <w:bookmarkStart w:colFirst="0" w:colLast="0" w:name="_l667cf5o1jts" w:id="17"/>
          <w:bookmarkEnd w:id="17"/>
          <w:commentRangeStart w:id="0"/>
          <w:r w:rsidDel="00000000" w:rsidR="00000000" w:rsidRPr="00000000">
            <w:rPr>
              <w:rtl w:val="0"/>
            </w:rPr>
            <w:t xml:space="preserve">Review a series of 10 of your clinical cases</w:t>
          </w:r>
          <w:commentRangeEnd w:id="0"/>
          <w:r w:rsidDel="00000000" w:rsidR="00000000" w:rsidRPr="00000000">
            <w:commentReference w:id="0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pStyle w:val="Subtitle"/>
            <w:keepNext w:val="1"/>
            <w:keepLines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line="240" w:lineRule="auto"/>
            <w:rPr>
              <w:rFonts w:ascii="Helvetica Neue" w:cs="Helvetica Neue" w:eastAsia="Helvetica Neue" w:hAnsi="Helvetica Neue"/>
            </w:rPr>
          </w:pPr>
          <w:bookmarkStart w:colFirst="0" w:colLast="0" w:name="_dwlqx4cnfhft" w:id="18"/>
          <w:bookmarkEnd w:id="18"/>
          <w:r w:rsidDel="00000000" w:rsidR="00000000" w:rsidRPr="00000000">
            <w:rPr>
              <w:rtl w:val="0"/>
            </w:rPr>
            <w:t xml:space="preserve">Part of the NASGP AppraisalAid</w:t>
          </w:r>
          <w:r w:rsidDel="00000000" w:rsidR="00000000" w:rsidRPr="00000000">
            <w:rPr>
              <w:rtl w:val="0"/>
            </w:rPr>
          </w:r>
        </w:p>
      </w:tc>
      <w:tc>
        <w:tcPr>
          <w:shd w:fill="efefef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jc w:val="center"/>
            <w:rPr>
              <w:rFonts w:ascii="Helvetica Neue" w:cs="Helvetica Neue" w:eastAsia="Helvetica Neue" w:hAnsi="Helvetica Neu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</w:rPr>
            <w:drawing>
              <wp:inline distB="114300" distT="114300" distL="114300" distR="114300">
                <wp:extent cx="1619250" cy="809625"/>
                <wp:effectExtent b="0" l="0" r="0" t="0"/>
                <wp:docPr descr="AppraisalAid combo.png" id="2" name="image2.png"/>
                <a:graphic>
                  <a:graphicData uri="http://schemas.openxmlformats.org/drawingml/2006/picture">
                    <pic:pic>
                      <pic:nvPicPr>
                        <pic:cNvPr descr="AppraisalAid combo.png" id="0" name="image2.png"/>
                        <pic:cNvPicPr preferRelativeResize="0"/>
                      </pic:nvPicPr>
                      <pic:blipFill>
                        <a:blip r:embed="rId1"/>
                        <a:srcRect b="-88200" l="0" r="0" t="-882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Helvetica Neue" w:cs="Helvetica Neue" w:eastAsia="Helvetica Neue" w:hAnsi="Helvetica Neue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Helvetica Neue" w:cs="Helvetica Neue" w:eastAsia="Helvetica Neue" w:hAnsi="Helvetica Neue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Helvetica Neue" w:cs="Helvetica Neue" w:eastAsia="Helvetica Neue" w:hAnsi="Helvetica Neue"/>
      <w:color w:val="666666"/>
    </w:rPr>
  </w:style>
  <w:style w:type="paragraph" w:styleId="Heading6">
    <w:name w:val="heading 6"/>
    <w:basedOn w:val="Normal"/>
    <w:next w:val="Normal"/>
    <w:pPr/>
    <w:rPr>
      <w:rFonts w:ascii="Helvetica Neue" w:cs="Helvetica Neue" w:eastAsia="Helvetica Neue" w:hAnsi="Helvetica Neue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Helvetica Neue" w:cs="Helvetica Neue" w:eastAsia="Helvetica Neue" w:hAnsi="Helvetica Neue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Helvetica Neue" w:cs="Helvetica Neue" w:eastAsia="Helvetica Neue" w:hAnsi="Helvetica Neue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http://www.nasgp.org.uk/contact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nasgp.org.uk/question/appraisalaid-using-cloud-based-storage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google.com/+/learnmore/hangouts/" TargetMode="External"/><Relationship Id="rId8" Type="http://schemas.openxmlformats.org/officeDocument/2006/relationships/hyperlink" Target="http://www.gmc-uk.org/static/documents/content/GMC_Revalidation_A4_Guidance_GMP_Framework_04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